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D2" w:rsidRPr="00ED3421" w:rsidRDefault="00CB72D2" w:rsidP="00B6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21">
        <w:rPr>
          <w:rFonts w:ascii="Times New Roman" w:hAnsi="Times New Roman" w:cs="Times New Roman"/>
          <w:b/>
          <w:sz w:val="24"/>
          <w:szCs w:val="24"/>
        </w:rPr>
        <w:t>Основные положения учетной политики</w:t>
      </w:r>
    </w:p>
    <w:p w:rsidR="00CB72D2" w:rsidRPr="00ED3421" w:rsidRDefault="00ED3421" w:rsidP="00B6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университет»</w:t>
      </w:r>
    </w:p>
    <w:p w:rsidR="00CB72D2" w:rsidRDefault="00ED3421" w:rsidP="00B63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B72D2" w:rsidRPr="00ED3421">
        <w:rPr>
          <w:rFonts w:ascii="Times New Roman" w:hAnsi="Times New Roman" w:cs="Times New Roman"/>
          <w:b/>
          <w:sz w:val="24"/>
          <w:szCs w:val="24"/>
        </w:rPr>
        <w:t xml:space="preserve"> 01.01.20</w:t>
      </w:r>
      <w:r w:rsidR="0075431C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="00CB72D2" w:rsidRPr="00ED34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D3421" w:rsidRPr="00ED3421" w:rsidRDefault="00ED3421" w:rsidP="00B63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EA5" w:rsidRPr="00ED3421" w:rsidRDefault="003F5EA5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421">
        <w:rPr>
          <w:rFonts w:ascii="Times New Roman" w:hAnsi="Times New Roman" w:cs="Times New Roman"/>
          <w:sz w:val="24"/>
          <w:szCs w:val="24"/>
        </w:rPr>
        <w:t>Учетная политика разработана в соответствии с требованиями следующих документов:</w:t>
      </w:r>
    </w:p>
    <w:p w:rsidR="00423298" w:rsidRDefault="00560CB4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8" w:history="1">
        <w:r w:rsidRPr="00423298">
          <w:rPr>
            <w:rStyle w:val="ad"/>
            <w:color w:val="auto"/>
            <w:u w:val="none"/>
          </w:rPr>
          <w:t>закон</w:t>
        </w:r>
      </w:hyperlink>
      <w:r w:rsidRPr="002C2F1B">
        <w:t xml:space="preserve"> от 06.12.2011 № 402-ФЗ "О бухгалтерском учете" (далее - Закон № 402-ФЗ);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9" w:history="1">
        <w:r w:rsidRPr="00423298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№ 256н (далее - </w:t>
      </w:r>
      <w:hyperlink r:id="rId10" w:history="1">
        <w:r w:rsidRPr="00423298">
          <w:rPr>
            <w:rStyle w:val="ad"/>
            <w:color w:val="auto"/>
            <w:u w:val="none"/>
          </w:rPr>
          <w:t>СГС</w:t>
        </w:r>
      </w:hyperlink>
      <w:r w:rsidRPr="002C2F1B">
        <w:t xml:space="preserve"> "Концептуальные основы");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11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"Основные средства", утвержденный Приказом Минфина России от 31.12.2016 № 257н (далее - </w:t>
      </w:r>
      <w:hyperlink r:id="rId12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"Основные средства");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13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"Аренда", утвержденный Приказом Минфина России от 31.12.2016 № 258н (далее - </w:t>
      </w:r>
      <w:hyperlink r:id="rId14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"Аренда");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15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"Обесценение активов", утвержденный Приказом Минфина России от 31.12.2016 № 259н (далее - </w:t>
      </w:r>
      <w:hyperlink r:id="rId16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"Обесценение активов");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17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"Представление бухгалтерской (финансовой) отчетности", утвержденный Приказом Минфина России от 31.12.2016 № 260н (далее - </w:t>
      </w:r>
      <w:hyperlink r:id="rId18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"Представление отчетности");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19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</w:t>
      </w:r>
      <w:hyperlink r:id="rId20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"Отчет о движении денежных средств");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21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 </w:t>
      </w:r>
      <w:hyperlink r:id="rId22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"Учетная политика");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23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 </w:t>
      </w:r>
      <w:hyperlink r:id="rId24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"События после отчетной даты");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25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"Доходы", утвержденный Приказом Минфина России от 27.02.2018 № 32н (далее - </w:t>
      </w:r>
      <w:hyperlink r:id="rId26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"Доходы");</w:t>
      </w:r>
    </w:p>
    <w:p w:rsidR="00423298" w:rsidRPr="002C2F1B" w:rsidRDefault="00423298" w:rsidP="00423298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Федеральный </w:t>
      </w:r>
      <w:hyperlink r:id="rId27" w:history="1">
        <w:r w:rsidRPr="002C2F1B">
          <w:rPr>
            <w:rStyle w:val="ad"/>
            <w:color w:val="auto"/>
            <w:u w:val="none"/>
          </w:rPr>
          <w:t>стандарт</w:t>
        </w:r>
      </w:hyperlink>
      <w:r w:rsidRPr="002C2F1B">
        <w:t xml:space="preserve"> бухгалтерского учета для организаций государственного сектора "Влияние изменений курсов иностранных валют", утвержденный Приказом Минфина России от 30.05.2018 № 122н (далее - </w:t>
      </w:r>
      <w:hyperlink r:id="rId28" w:history="1">
        <w:r w:rsidRPr="002C2F1B">
          <w:rPr>
            <w:rStyle w:val="ad"/>
            <w:color w:val="auto"/>
            <w:u w:val="none"/>
          </w:rPr>
          <w:t>СГС</w:t>
        </w:r>
      </w:hyperlink>
      <w:r w:rsidRPr="002C2F1B">
        <w:t xml:space="preserve"> "Влияние изменений курсов иностранных валют");</w:t>
      </w:r>
    </w:p>
    <w:p w:rsidR="00B63D3E" w:rsidRPr="00B63D3E" w:rsidRDefault="00B63D3E" w:rsidP="00B63D3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  <w:r>
        <w:t>приказ</w:t>
      </w:r>
      <w:r w:rsidRPr="00B63D3E">
        <w:t xml:space="preserve"> Минфина от 01.12.2010 № 157н </w:t>
      </w:r>
      <w:r w:rsidRPr="00B63D3E">
        <w:rPr>
          <w:iCs/>
        </w:rPr>
        <w:t>«Об утверждении Единого плана</w:t>
      </w:r>
      <w:r w:rsidRPr="00B63D3E">
        <w:t xml:space="preserve"> </w:t>
      </w:r>
      <w:r w:rsidRPr="00B63D3E">
        <w:rPr>
          <w:iCs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B63D3E">
        <w:t xml:space="preserve"> (далее – Инструкции к Единому плану счетов № 157н);</w:t>
      </w:r>
    </w:p>
    <w:p w:rsidR="00B63D3E" w:rsidRPr="00B63D3E" w:rsidRDefault="00B63D3E" w:rsidP="00B63D3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3D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</w:t>
      </w:r>
      <w:r w:rsidRPr="00B63D3E">
        <w:rPr>
          <w:rFonts w:ascii="Times New Roman" w:hAnsi="Times New Roman" w:cs="Times New Roman"/>
          <w:sz w:val="24"/>
          <w:szCs w:val="24"/>
        </w:rPr>
        <w:t xml:space="preserve"> Минфина от 16.12.2010 № 174н </w:t>
      </w:r>
      <w:r w:rsidRPr="00B63D3E">
        <w:rPr>
          <w:rFonts w:ascii="Times New Roman" w:hAnsi="Times New Roman" w:cs="Times New Roman"/>
          <w:iCs/>
          <w:sz w:val="24"/>
          <w:szCs w:val="24"/>
        </w:rPr>
        <w:t>«Об утверждении Плана счетов</w:t>
      </w:r>
      <w:r w:rsidRPr="00B63D3E">
        <w:rPr>
          <w:rFonts w:ascii="Times New Roman" w:hAnsi="Times New Roman" w:cs="Times New Roman"/>
          <w:sz w:val="24"/>
          <w:szCs w:val="24"/>
        </w:rPr>
        <w:t xml:space="preserve"> </w:t>
      </w:r>
      <w:r w:rsidRPr="00B63D3E">
        <w:rPr>
          <w:rFonts w:ascii="Times New Roman" w:hAnsi="Times New Roman" w:cs="Times New Roman"/>
          <w:iCs/>
          <w:sz w:val="24"/>
          <w:szCs w:val="24"/>
        </w:rPr>
        <w:t>бухгалтерского учета бюджетных учреждений и Инструкции по его применению»</w:t>
      </w:r>
      <w:r w:rsidRPr="00B63D3E">
        <w:rPr>
          <w:rFonts w:ascii="Times New Roman" w:hAnsi="Times New Roman" w:cs="Times New Roman"/>
          <w:sz w:val="24"/>
          <w:szCs w:val="24"/>
        </w:rPr>
        <w:t xml:space="preserve"> (далее – Инструкция № 174н);</w:t>
      </w:r>
    </w:p>
    <w:p w:rsidR="00560CB4" w:rsidRPr="002C2F1B" w:rsidRDefault="0075431C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hyperlink r:id="rId29" w:history="1">
        <w:r w:rsidR="00560CB4" w:rsidRPr="002C2F1B">
          <w:rPr>
            <w:rStyle w:val="ad"/>
            <w:color w:val="auto"/>
            <w:u w:val="none"/>
          </w:rPr>
          <w:t>Приказ</w:t>
        </w:r>
      </w:hyperlink>
      <w:r w:rsidR="00560CB4" w:rsidRPr="002C2F1B">
        <w:t xml:space="preserve">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560CB4" w:rsidRPr="002C2F1B" w:rsidRDefault="00560CB4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Методические </w:t>
      </w:r>
      <w:hyperlink r:id="rId30" w:history="1">
        <w:r w:rsidRPr="002C2F1B">
          <w:rPr>
            <w:rStyle w:val="ad"/>
            <w:color w:val="auto"/>
            <w:u w:val="none"/>
          </w:rPr>
          <w:t>указания</w:t>
        </w:r>
      </w:hyperlink>
      <w:r w:rsidRPr="002C2F1B">
        <w:t xml:space="preserve">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</w:t>
      </w:r>
      <w:r w:rsidRPr="002C2F1B">
        <w:lastRenderedPageBreak/>
        <w:t>органами местного самоуправления, органами управления государственными внебюджетными фондами, государственными (муниципальными) учреждениями (Приложение № 5 к Приказу Минфи</w:t>
      </w:r>
      <w:r w:rsidR="00B63D3E">
        <w:t>на России от 30.03.2015 № 52н)</w:t>
      </w:r>
      <w:r w:rsidRPr="002C2F1B">
        <w:t>;</w:t>
      </w:r>
    </w:p>
    <w:p w:rsidR="00560CB4" w:rsidRPr="002C2F1B" w:rsidRDefault="0075431C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hyperlink r:id="rId31" w:history="1">
        <w:r w:rsidR="00560CB4" w:rsidRPr="002C2F1B">
          <w:rPr>
            <w:rStyle w:val="ad"/>
            <w:color w:val="auto"/>
            <w:u w:val="none"/>
          </w:rPr>
          <w:t>Указание</w:t>
        </w:r>
      </w:hyperlink>
      <w:r w:rsidR="00560CB4" w:rsidRPr="002C2F1B">
        <w:t xml:space="preserve">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</w:t>
      </w:r>
      <w:hyperlink r:id="rId32" w:history="1">
        <w:r w:rsidR="00560CB4" w:rsidRPr="002C2F1B">
          <w:rPr>
            <w:rStyle w:val="ad"/>
            <w:color w:val="auto"/>
            <w:u w:val="none"/>
          </w:rPr>
          <w:t>Указание</w:t>
        </w:r>
      </w:hyperlink>
      <w:r w:rsidR="00560CB4" w:rsidRPr="002C2F1B">
        <w:t xml:space="preserve"> № 3210-У);</w:t>
      </w:r>
    </w:p>
    <w:p w:rsidR="00560CB4" w:rsidRPr="002C2F1B" w:rsidRDefault="0075431C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hyperlink r:id="rId33" w:history="1">
        <w:r w:rsidR="00560CB4" w:rsidRPr="002C2F1B">
          <w:rPr>
            <w:rStyle w:val="ad"/>
            <w:color w:val="auto"/>
            <w:u w:val="none"/>
          </w:rPr>
          <w:t>Указание</w:t>
        </w:r>
      </w:hyperlink>
      <w:r w:rsidR="00560CB4" w:rsidRPr="002C2F1B">
        <w:t xml:space="preserve"> Банка России от 07.10.2013 № 3073-У "Об осуществлении наличных расчетов" (далее - </w:t>
      </w:r>
      <w:hyperlink r:id="rId34" w:history="1">
        <w:r w:rsidR="00560CB4" w:rsidRPr="002C2F1B">
          <w:rPr>
            <w:rStyle w:val="ad"/>
            <w:color w:val="auto"/>
            <w:u w:val="none"/>
          </w:rPr>
          <w:t>Указание</w:t>
        </w:r>
      </w:hyperlink>
      <w:r w:rsidR="00560CB4" w:rsidRPr="002C2F1B">
        <w:t xml:space="preserve"> № 3073-У);</w:t>
      </w:r>
    </w:p>
    <w:p w:rsidR="00560CB4" w:rsidRPr="002C2F1B" w:rsidRDefault="00560CB4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r w:rsidRPr="002C2F1B">
        <w:t xml:space="preserve">Методические </w:t>
      </w:r>
      <w:hyperlink r:id="rId35" w:history="1">
        <w:r w:rsidRPr="002C2F1B">
          <w:rPr>
            <w:rStyle w:val="ad"/>
            <w:color w:val="auto"/>
            <w:u w:val="none"/>
          </w:rPr>
          <w:t>указания</w:t>
        </w:r>
      </w:hyperlink>
      <w:r w:rsidRPr="002C2F1B">
        <w:t xml:space="preserve"> по инвентаризации имущества и финансовых обязательств, утвержденные Приказом Минфина России от 13.06.1995 № 49 (далее - Методические </w:t>
      </w:r>
      <w:hyperlink r:id="rId36" w:history="1">
        <w:r w:rsidRPr="002C2F1B">
          <w:rPr>
            <w:rStyle w:val="ad"/>
            <w:color w:val="auto"/>
            <w:u w:val="none"/>
          </w:rPr>
          <w:t>указания</w:t>
        </w:r>
      </w:hyperlink>
      <w:r w:rsidRPr="002C2F1B">
        <w:t xml:space="preserve"> № 49);</w:t>
      </w:r>
    </w:p>
    <w:p w:rsidR="00560CB4" w:rsidRPr="002C2F1B" w:rsidRDefault="0075431C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hyperlink r:id="rId37" w:history="1">
        <w:r w:rsidR="00560CB4" w:rsidRPr="002C2F1B">
          <w:rPr>
            <w:rStyle w:val="ad"/>
            <w:color w:val="auto"/>
            <w:u w:val="none"/>
          </w:rPr>
          <w:t>Порядок</w:t>
        </w:r>
      </w:hyperlink>
      <w:r w:rsidR="00560CB4" w:rsidRPr="002C2F1B">
        <w:t xml:space="preserve"> формирования и применения кодов бюджетной классификации Российской Федерации, утвержденный Приказом Минфи</w:t>
      </w:r>
      <w:r w:rsidR="00B63D3E">
        <w:t>на России от 08.06.2018 № 132н</w:t>
      </w:r>
      <w:r w:rsidR="00560CB4" w:rsidRPr="002C2F1B">
        <w:t>;</w:t>
      </w:r>
    </w:p>
    <w:p w:rsidR="00560CB4" w:rsidRPr="002C2F1B" w:rsidRDefault="0075431C" w:rsidP="00B63D3E">
      <w:pPr>
        <w:pStyle w:val="a8"/>
        <w:numPr>
          <w:ilvl w:val="0"/>
          <w:numId w:val="4"/>
        </w:numPr>
        <w:spacing w:line="276" w:lineRule="auto"/>
        <w:ind w:left="0"/>
        <w:jc w:val="both"/>
      </w:pPr>
      <w:hyperlink r:id="rId38" w:history="1">
        <w:r w:rsidR="00560CB4" w:rsidRPr="002C2F1B">
          <w:rPr>
            <w:rStyle w:val="ad"/>
            <w:color w:val="auto"/>
            <w:u w:val="none"/>
          </w:rPr>
          <w:t>Порядок</w:t>
        </w:r>
      </w:hyperlink>
      <w:r w:rsidR="00560CB4" w:rsidRPr="002C2F1B">
        <w:t xml:space="preserve"> применения классификации операций сектора государственного управления, утвержденный Приказом Минфина России от 29.11.2017 № 209н</w:t>
      </w:r>
      <w:r w:rsidR="00B63D3E">
        <w:t>.</w:t>
      </w:r>
    </w:p>
    <w:p w:rsidR="00B63D3E" w:rsidRDefault="00B63D3E" w:rsidP="00B6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EA5" w:rsidRPr="003F5EA5" w:rsidRDefault="00B63D3E" w:rsidP="00B6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F5EA5" w:rsidRPr="003F5EA5">
        <w:rPr>
          <w:rFonts w:ascii="Times New Roman" w:hAnsi="Times New Roman" w:cs="Times New Roman"/>
          <w:sz w:val="24"/>
          <w:szCs w:val="24"/>
        </w:rPr>
        <w:t xml:space="preserve">В части исполнения полномочий получателя бюджетных средств Учреждение ведет учет в соответствии с приказом Минфина от 06.12.2010 №162н </w:t>
      </w:r>
      <w:r w:rsidR="003F5EA5" w:rsidRPr="003F5EA5">
        <w:rPr>
          <w:rFonts w:ascii="Times New Roman" w:hAnsi="Times New Roman" w:cs="Times New Roman"/>
          <w:iCs/>
          <w:sz w:val="24"/>
          <w:szCs w:val="24"/>
        </w:rPr>
        <w:t>«Об утверждении плана счетов бюджетного учета и Инструкции по его применению»</w:t>
      </w:r>
      <w:r w:rsidR="003F5EA5" w:rsidRPr="003F5EA5">
        <w:rPr>
          <w:rFonts w:ascii="Times New Roman" w:hAnsi="Times New Roman" w:cs="Times New Roman"/>
          <w:sz w:val="24"/>
          <w:szCs w:val="24"/>
        </w:rPr>
        <w:t xml:space="preserve"> (Инструкция № 162н).</w:t>
      </w:r>
    </w:p>
    <w:p w:rsidR="003F5EA5" w:rsidRPr="00B63D3E" w:rsidRDefault="003F5EA5" w:rsidP="00B63D3E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3F5EA5">
        <w:rPr>
          <w:rFonts w:ascii="Times New Roman" w:hAnsi="Times New Roman" w:cs="Times New Roman"/>
          <w:b w:val="0"/>
        </w:rPr>
        <w:t>1.2. </w:t>
      </w:r>
      <w:r w:rsidRPr="00B63D3E">
        <w:rPr>
          <w:rFonts w:ascii="Times New Roman" w:hAnsi="Times New Roman" w:cs="Times New Roman"/>
          <w:b w:val="0"/>
        </w:rPr>
        <w:t xml:space="preserve">Ответственным за организацию бухгалтерского учета в КемГУ и соблюдение законодательства при выполнении хозяйственных операций является ректор КемГУ. </w:t>
      </w:r>
    </w:p>
    <w:p w:rsidR="003F5EA5" w:rsidRPr="003F5EA5" w:rsidRDefault="003F5EA5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 xml:space="preserve">Ответственность за ведение бухгалтерского учета в КемГУ возложено на главного бухгалтера. </w:t>
      </w:r>
    </w:p>
    <w:p w:rsidR="003F5EA5" w:rsidRPr="003F5EA5" w:rsidRDefault="00B63D3E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F5EA5" w:rsidRPr="003F5EA5">
        <w:rPr>
          <w:rFonts w:ascii="Times New Roman" w:hAnsi="Times New Roman" w:cs="Times New Roman"/>
          <w:sz w:val="24"/>
          <w:szCs w:val="24"/>
        </w:rPr>
        <w:t>. Бухгалтерский учет в головной организации (КемГУ), являющейся распорядителем и получателем средств, ведет управление бухгалтерского учета и финансового контроля (далее – УБУ и ФК). Сотрудники УБУ и ФК руководствуются в работе Положением об УБУ и ФК, должностными инструкциями.</w:t>
      </w:r>
    </w:p>
    <w:p w:rsidR="003F5EA5" w:rsidRPr="003F5EA5" w:rsidRDefault="00B63D3E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F5EA5" w:rsidRPr="003F5EA5">
        <w:rPr>
          <w:rFonts w:ascii="Times New Roman" w:hAnsi="Times New Roman" w:cs="Times New Roman"/>
          <w:sz w:val="24"/>
          <w:szCs w:val="24"/>
        </w:rPr>
        <w:t>. Бухгалтерский учет в обособленных структурных подразделениях (филиалах КемГУ), наделенных правомочиями юридического лица, в части ведения отдельного баланса, имеющих лицевые счета в территориальных органах Казначейства, ведут бухгалтерские службы этих подразделений.</w:t>
      </w:r>
    </w:p>
    <w:p w:rsidR="003F5EA5" w:rsidRPr="003F5EA5" w:rsidRDefault="003F5EA5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>1.</w:t>
      </w:r>
      <w:r w:rsidR="00B63D3E">
        <w:rPr>
          <w:rFonts w:ascii="Times New Roman" w:hAnsi="Times New Roman" w:cs="Times New Roman"/>
          <w:sz w:val="24"/>
          <w:szCs w:val="24"/>
        </w:rPr>
        <w:t>5</w:t>
      </w:r>
      <w:r w:rsidRPr="003F5EA5">
        <w:rPr>
          <w:rFonts w:ascii="Times New Roman" w:hAnsi="Times New Roman" w:cs="Times New Roman"/>
          <w:sz w:val="24"/>
          <w:szCs w:val="24"/>
        </w:rPr>
        <w:t>. Главный бухгалтер КемГУ подчиняется непосредственно ректору 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(финансовой), налоговой и статистической отчетности.</w:t>
      </w:r>
    </w:p>
    <w:p w:rsidR="003F5EA5" w:rsidRPr="003F5EA5" w:rsidRDefault="003F5EA5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>1.</w:t>
      </w:r>
      <w:r w:rsidR="00B63D3E">
        <w:rPr>
          <w:rFonts w:ascii="Times New Roman" w:hAnsi="Times New Roman" w:cs="Times New Roman"/>
          <w:sz w:val="24"/>
          <w:szCs w:val="24"/>
        </w:rPr>
        <w:t>6</w:t>
      </w:r>
      <w:r w:rsidRPr="003F5EA5">
        <w:rPr>
          <w:rFonts w:ascii="Times New Roman" w:hAnsi="Times New Roman" w:cs="Times New Roman"/>
          <w:sz w:val="24"/>
          <w:szCs w:val="24"/>
        </w:rPr>
        <w:t xml:space="preserve">. При разногласиях между руководителем и главным бухгалтером при ведении бухгалтерского учета в принятии первичных учетных документов и отражении (или не отражении) объекта бухгалтерского учета осуществлять по письменному распоряжению руководителя учреждения.     </w:t>
      </w:r>
    </w:p>
    <w:p w:rsidR="003F5EA5" w:rsidRPr="003F5EA5" w:rsidRDefault="003F5EA5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 xml:space="preserve"> 1.</w:t>
      </w:r>
      <w:r w:rsidR="00B63D3E">
        <w:rPr>
          <w:rFonts w:ascii="Times New Roman" w:hAnsi="Times New Roman" w:cs="Times New Roman"/>
          <w:sz w:val="24"/>
          <w:szCs w:val="24"/>
        </w:rPr>
        <w:t>7</w:t>
      </w:r>
      <w:r w:rsidRPr="003F5EA5">
        <w:rPr>
          <w:rFonts w:ascii="Times New Roman" w:hAnsi="Times New Roman" w:cs="Times New Roman"/>
          <w:sz w:val="24"/>
          <w:szCs w:val="24"/>
        </w:rPr>
        <w:t xml:space="preserve">. КемГУ определяет реализацию объема прав получателя средств на оплату принятых в установленном порядке публичных обязательств за счет средств федерального бюджета (выплаты детям-сиротам). Публичные обязательства передаются федеральному бюджетному учреждению на основании приказа Министерства науки и высшего образования РФ. Университет осуществляет выплаты детям-сиротам, обучающимся в филиалах КемГУ, на основании письменных заявок бухгалтерских служб филиалов. Начисления по выплатам филиалы производят самостоятельно. </w:t>
      </w:r>
    </w:p>
    <w:p w:rsidR="003F5EA5" w:rsidRPr="003F5EA5" w:rsidRDefault="00ED3421" w:rsidP="00B63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3D3E">
        <w:rPr>
          <w:rFonts w:ascii="Times New Roman" w:hAnsi="Times New Roman" w:cs="Times New Roman"/>
          <w:sz w:val="24"/>
          <w:szCs w:val="24"/>
        </w:rPr>
        <w:t>8</w:t>
      </w:r>
      <w:r w:rsidR="003F5EA5" w:rsidRPr="003F5EA5">
        <w:rPr>
          <w:rFonts w:ascii="Times New Roman" w:hAnsi="Times New Roman" w:cs="Times New Roman"/>
          <w:sz w:val="24"/>
          <w:szCs w:val="24"/>
        </w:rPr>
        <w:t xml:space="preserve">. </w:t>
      </w:r>
      <w:r w:rsidR="003F5EA5" w:rsidRPr="003F5EA5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публикует основные положения</w:t>
      </w:r>
      <w:r w:rsidR="003F5EA5" w:rsidRPr="003F5EA5">
        <w:rPr>
          <w:rStyle w:val="matches"/>
          <w:rFonts w:ascii="Times New Roman" w:hAnsi="Times New Roman" w:cs="Times New Roman"/>
          <w:sz w:val="24"/>
          <w:szCs w:val="24"/>
        </w:rPr>
        <w:t xml:space="preserve"> учетной политики</w:t>
      </w:r>
      <w:r w:rsidR="003F5EA5" w:rsidRPr="003F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своем официальном сайте путем размещения обобщенной информации, которая содержит основные положения (перечень основных способов ведения</w:t>
      </w:r>
      <w:r w:rsidR="003F5EA5" w:rsidRPr="003F5EA5">
        <w:rPr>
          <w:rStyle w:val="matches"/>
          <w:rFonts w:ascii="Times New Roman" w:hAnsi="Times New Roman" w:cs="Times New Roman"/>
          <w:sz w:val="24"/>
          <w:szCs w:val="24"/>
        </w:rPr>
        <w:t xml:space="preserve"> учета</w:t>
      </w:r>
      <w:r w:rsidR="003F5EA5" w:rsidRPr="003F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особенностей), установленные </w:t>
      </w:r>
      <w:r w:rsidR="002A0C1D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документами учетной политики, с указанием их реквизитов.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EA5" w:rsidRPr="003F5EA5">
        <w:rPr>
          <w:rFonts w:ascii="Times New Roman" w:hAnsi="Times New Roman" w:cs="Times New Roman"/>
          <w:sz w:val="24"/>
          <w:szCs w:val="24"/>
        </w:rPr>
        <w:t>Основание: пункт 9 СГС «Учетная политика, оценочные значения и ошибки».</w:t>
      </w:r>
    </w:p>
    <w:p w:rsidR="003F5EA5" w:rsidRDefault="003F5EA5" w:rsidP="00B6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>1.</w:t>
      </w:r>
      <w:r w:rsidR="00B63D3E">
        <w:rPr>
          <w:rFonts w:ascii="Times New Roman" w:hAnsi="Times New Roman" w:cs="Times New Roman"/>
          <w:sz w:val="24"/>
          <w:szCs w:val="24"/>
        </w:rPr>
        <w:t>9</w:t>
      </w:r>
      <w:r w:rsidRPr="003F5EA5">
        <w:rPr>
          <w:rFonts w:ascii="Times New Roman" w:hAnsi="Times New Roman" w:cs="Times New Roman"/>
          <w:sz w:val="24"/>
          <w:szCs w:val="24"/>
        </w:rPr>
        <w:t xml:space="preserve"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</w:t>
      </w:r>
      <w:r w:rsidRPr="003F5EA5">
        <w:rPr>
          <w:rFonts w:ascii="Times New Roman" w:hAnsi="Times New Roman" w:cs="Times New Roman"/>
          <w:sz w:val="24"/>
          <w:szCs w:val="24"/>
        </w:rPr>
        <w:lastRenderedPageBreak/>
        <w:t>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  <w:r w:rsidR="00B63D3E">
        <w:rPr>
          <w:rFonts w:ascii="Times New Roman" w:hAnsi="Times New Roman" w:cs="Times New Roman"/>
          <w:sz w:val="24"/>
          <w:szCs w:val="24"/>
        </w:rPr>
        <w:t xml:space="preserve"> </w:t>
      </w:r>
      <w:r w:rsidRPr="003F5EA5">
        <w:rPr>
          <w:rFonts w:ascii="Times New Roman" w:hAnsi="Times New Roman" w:cs="Times New Roman"/>
          <w:sz w:val="24"/>
          <w:szCs w:val="24"/>
        </w:rPr>
        <w:t>Основание: пункты 17, 20, 32 СГС «Учетная политика, оценочные значения и ошибки».</w:t>
      </w:r>
    </w:p>
    <w:p w:rsidR="00B63D3E" w:rsidRPr="003F5EA5" w:rsidRDefault="00B63D3E" w:rsidP="00B6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EA5" w:rsidRDefault="003F5EA5" w:rsidP="00BF05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EA5">
        <w:rPr>
          <w:rFonts w:ascii="Times New Roman" w:hAnsi="Times New Roman" w:cs="Times New Roman"/>
          <w:sz w:val="24"/>
          <w:szCs w:val="24"/>
        </w:rPr>
        <w:t>В 2019 году бухгалтерский учет осуществляется на основании следующих положений: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156"/>
        <w:gridCol w:w="5506"/>
      </w:tblGrid>
      <w:tr w:rsidR="00D90DFA" w:rsidTr="007C3DB5">
        <w:tc>
          <w:tcPr>
            <w:tcW w:w="534" w:type="dxa"/>
          </w:tcPr>
          <w:p w:rsidR="00D90DFA" w:rsidRDefault="00D90DFA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90DFA" w:rsidRPr="003F5EA5" w:rsidRDefault="00D90DFA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</w:tc>
        <w:tc>
          <w:tcPr>
            <w:tcW w:w="5635" w:type="dxa"/>
          </w:tcPr>
          <w:p w:rsidR="00D90DFA" w:rsidRPr="003F5EA5" w:rsidRDefault="00D90DFA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Учетной политики</w:t>
            </w:r>
          </w:p>
        </w:tc>
      </w:tr>
      <w:tr w:rsidR="00D90DFA" w:rsidTr="007C3DB5">
        <w:tc>
          <w:tcPr>
            <w:tcW w:w="534" w:type="dxa"/>
          </w:tcPr>
          <w:p w:rsidR="00D90DFA" w:rsidRDefault="00D90DFA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90DFA" w:rsidRPr="003F5EA5" w:rsidRDefault="00D90DFA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</w:t>
            </w:r>
          </w:p>
        </w:tc>
        <w:tc>
          <w:tcPr>
            <w:tcW w:w="5635" w:type="dxa"/>
          </w:tcPr>
          <w:p w:rsidR="00D90DFA" w:rsidRPr="003F5EA5" w:rsidRDefault="00336518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D90DFA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A55C1" w:rsidRPr="003F5EA5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учетной информации</w:t>
            </w:r>
          </w:p>
        </w:tc>
        <w:tc>
          <w:tcPr>
            <w:tcW w:w="5635" w:type="dxa"/>
          </w:tcPr>
          <w:p w:rsidR="00AA55C1" w:rsidRDefault="00AA55C1" w:rsidP="00BF05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F8">
              <w:rPr>
                <w:rFonts w:ascii="Times New Roman" w:hAnsi="Times New Roman" w:cs="Times New Roman"/>
                <w:sz w:val="24"/>
                <w:szCs w:val="24"/>
              </w:rPr>
              <w:t>Обработка учетной информации ведется с применением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460F8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«1С Бухгалтерия»</w:t>
            </w:r>
          </w:p>
          <w:p w:rsidR="00AA55C1" w:rsidRPr="00A460F8" w:rsidRDefault="00AA55C1" w:rsidP="00BF05CC">
            <w:pPr>
              <w:spacing w:line="276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F8">
              <w:rPr>
                <w:rFonts w:ascii="Times New Roman" w:hAnsi="Times New Roman" w:cs="Times New Roman"/>
                <w:sz w:val="24"/>
                <w:szCs w:val="24"/>
              </w:rPr>
              <w:t>Филиалам, наделенными правомочиями юридического лица в части ведения отдельного баланса, не разрешено применять технологию обработки учетной информации, отличную от головного вуза.</w:t>
            </w:r>
            <w:r w:rsidRPr="00A460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A55C1" w:rsidRPr="003F5EA5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присвоения инвентарных номеров объектам основных средств </w:t>
            </w:r>
          </w:p>
        </w:tc>
        <w:tc>
          <w:tcPr>
            <w:tcW w:w="5635" w:type="dxa"/>
          </w:tcPr>
          <w:p w:rsidR="00AA55C1" w:rsidRPr="003F5EA5" w:rsidRDefault="00AA55C1" w:rsidP="00BF05CC">
            <w:pPr>
              <w:pStyle w:val="a9"/>
              <w:spacing w:line="276" w:lineRule="auto"/>
              <w:ind w:firstLine="0"/>
              <w:jc w:val="left"/>
              <w:rPr>
                <w:sz w:val="24"/>
              </w:rPr>
            </w:pPr>
            <w:r w:rsidRPr="00A460F8">
              <w:rPr>
                <w:sz w:val="24"/>
              </w:rPr>
              <w:t>Каждому объекту недвижимого, а также движимого имущества стоимостью свыше 10 000 руб. присваивается уникальный инвентарный номер, состоящий из десяти знаков:</w:t>
            </w:r>
            <w:r w:rsidRPr="00A460F8">
              <w:rPr>
                <w:sz w:val="24"/>
              </w:rPr>
              <w:br/>
              <w:t xml:space="preserve">Первый знак обозначает вид деятельности, за счет которой приобретен объект основных средств, следующие три знака – код синтетического счета, два знака – код аналитического счета и последние четыре знака – порядковый номер предмета по каждому счету. 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A55C1" w:rsidRPr="003F5EA5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начисления амортизации по объектам основных средств</w:t>
            </w:r>
          </w:p>
        </w:tc>
        <w:tc>
          <w:tcPr>
            <w:tcW w:w="5635" w:type="dxa"/>
          </w:tcPr>
          <w:p w:rsidR="00AA55C1" w:rsidRPr="003F5EA5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амортизации производится линейным способом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A55C1" w:rsidRPr="003F5EA5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определения справедливой стоимости нефинансовых активов</w:t>
            </w:r>
          </w:p>
        </w:tc>
        <w:tc>
          <w:tcPr>
            <w:tcW w:w="5635" w:type="dxa"/>
          </w:tcPr>
          <w:p w:rsidR="00AA55C1" w:rsidRPr="00F65EDC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5EDC">
              <w:rPr>
                <w:rFonts w:ascii="Times New Roman" w:hAnsi="Times New Roman" w:cs="Times New Roman"/>
                <w:sz w:val="24"/>
                <w:szCs w:val="24"/>
              </w:rPr>
              <w:t>етод определения справедливой стоимости выбирает комиссия учреждения по поступлению и выбытию активов.</w:t>
            </w:r>
            <w:r w:rsidRPr="00F65E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Основание: пункт 54 СГС «Концептуальные основы бухучета и отчетности».</w:t>
            </w:r>
          </w:p>
          <w:p w:rsidR="00AA55C1" w:rsidRPr="003F5EA5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C">
              <w:rPr>
                <w:rFonts w:ascii="Times New Roman" w:hAnsi="Times New Roman" w:cs="Times New Roman"/>
                <w:sz w:val="24"/>
                <w:szCs w:val="24"/>
              </w:rPr>
              <w:t> 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      </w:r>
            <w:r w:rsidRPr="00F65E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Основание: пункт 6 СГС «Учетная политика, оценочные значения и ошибки».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A55C1" w:rsidRP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C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стоимости материальных запасов при выбытии</w:t>
            </w:r>
          </w:p>
        </w:tc>
        <w:tc>
          <w:tcPr>
            <w:tcW w:w="5635" w:type="dxa"/>
          </w:tcPr>
          <w:p w:rsidR="00AA55C1" w:rsidRPr="00AA55C1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C1">
              <w:rPr>
                <w:rFonts w:ascii="Times New Roman" w:hAnsi="Times New Roman" w:cs="Times New Roman"/>
                <w:sz w:val="24"/>
                <w:szCs w:val="24"/>
              </w:rPr>
              <w:t>По фактической стоимости каждой единицы списываются следующие материальные запасы:</w:t>
            </w:r>
          </w:p>
          <w:p w:rsidR="00AA55C1" w:rsidRPr="00AA55C1" w:rsidRDefault="00AA55C1" w:rsidP="00BF05CC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AA55C1">
              <w:t>оборудование, требующее монтажа и предназначенное для установки;</w:t>
            </w:r>
          </w:p>
          <w:p w:rsidR="00AA55C1" w:rsidRPr="00AA55C1" w:rsidRDefault="00AA55C1" w:rsidP="00BF05CC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AA55C1">
              <w:t>спецоборудование для научно-исследовательских и опытно-</w:t>
            </w:r>
            <w:r w:rsidRPr="00AA55C1">
              <w:lastRenderedPageBreak/>
              <w:t>конструкторских работ, приобретенное по договорам с заказчиками;</w:t>
            </w:r>
          </w:p>
          <w:p w:rsidR="00AA55C1" w:rsidRPr="00AA55C1" w:rsidRDefault="00AA55C1" w:rsidP="00BF05CC">
            <w:pPr>
              <w:pStyle w:val="a8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AA55C1">
              <w:t>запчасти и другие материалы, предназначенные для изготовления других материальных запасов и основных средств;</w:t>
            </w:r>
          </w:p>
          <w:p w:rsidR="00AA55C1" w:rsidRPr="00AA55C1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C1">
              <w:rPr>
                <w:rFonts w:ascii="Times New Roman" w:hAnsi="Times New Roman" w:cs="Times New Roman"/>
                <w:sz w:val="24"/>
                <w:szCs w:val="24"/>
              </w:rPr>
              <w:t>Остальные материальные запасы списываются по средней фактической стоимости.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резервов предстоящих периодов</w:t>
            </w:r>
          </w:p>
        </w:tc>
        <w:tc>
          <w:tcPr>
            <w:tcW w:w="5635" w:type="dxa"/>
          </w:tcPr>
          <w:p w:rsidR="00AA55C1" w:rsidRPr="00D90DFA" w:rsidRDefault="00AA55C1" w:rsidP="00BF05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>В учреждении создаются следующие резервы:</w:t>
            </w:r>
          </w:p>
          <w:p w:rsidR="00AA55C1" w:rsidRPr="00D90DFA" w:rsidRDefault="00AA55C1" w:rsidP="00BF0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 xml:space="preserve">- резерв на предстоящую оплату отпусков. </w:t>
            </w:r>
          </w:p>
          <w:p w:rsidR="00AA55C1" w:rsidRPr="00D90DFA" w:rsidRDefault="00AA55C1" w:rsidP="00BF05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 xml:space="preserve">- резерв по претензионным требованиям. </w:t>
            </w:r>
          </w:p>
          <w:p w:rsidR="00AA55C1" w:rsidRDefault="00AA55C1" w:rsidP="00BF05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 xml:space="preserve"> - резерв по сомнительным долгам. </w:t>
            </w:r>
          </w:p>
          <w:p w:rsidR="00043A8F" w:rsidRPr="00F65EDC" w:rsidRDefault="00043A8F" w:rsidP="00043A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EDC">
              <w:rPr>
                <w:rFonts w:ascii="Times New Roman" w:hAnsi="Times New Roman" w:cs="Times New Roman"/>
                <w:sz w:val="24"/>
                <w:szCs w:val="24"/>
              </w:rPr>
              <w:t>езерв по претензионным требованиям – при необходимости. Величина резерва устанавливается в размере претензии, предъявленной учреждению в судебном иске, либо в претензионных документах досудебного разбирательства. В случае, если претензии отозваны или не признаны судом, сумма резерва списывается с учета методом «красное сторно».</w:t>
            </w:r>
          </w:p>
          <w:p w:rsidR="00043A8F" w:rsidRPr="00D90DFA" w:rsidRDefault="00043A8F" w:rsidP="00043A8F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65EDC">
              <w:rPr>
                <w:rFonts w:ascii="Times New Roman" w:hAnsi="Times New Roman" w:cs="Times New Roman"/>
                <w:sz w:val="24"/>
                <w:szCs w:val="24"/>
              </w:rPr>
              <w:t>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резерва устанавливается в размере выявленной сомнительной задолженности.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5635" w:type="dxa"/>
          </w:tcPr>
          <w:p w:rsidR="00AA55C1" w:rsidRPr="00D90DFA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>Приложение Учетной политики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AA55C1" w:rsidRPr="00D10CC2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C2">
              <w:rPr>
                <w:rFonts w:ascii="Times New Roman" w:hAnsi="Times New Roman" w:cs="Times New Roman"/>
                <w:sz w:val="24"/>
                <w:szCs w:val="24"/>
              </w:rPr>
              <w:t>Списание дебиторской и кредиторской задолженности</w:t>
            </w:r>
          </w:p>
        </w:tc>
        <w:tc>
          <w:tcPr>
            <w:tcW w:w="5635" w:type="dxa"/>
          </w:tcPr>
          <w:p w:rsidR="00697B0D" w:rsidRPr="00D10CC2" w:rsidRDefault="00697B0D" w:rsidP="0069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C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      </w:r>
          </w:p>
          <w:p w:rsidR="00AA55C1" w:rsidRPr="00D10CC2" w:rsidRDefault="00697B0D" w:rsidP="00D1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C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</w:t>
            </w:r>
            <w:r w:rsidR="00D10CC2" w:rsidRPr="00D10CC2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РФ</w:t>
            </w:r>
          </w:p>
        </w:tc>
      </w:tr>
      <w:tr w:rsidR="00AA55C1" w:rsidTr="007C3DB5">
        <w:trPr>
          <w:trHeight w:val="227"/>
        </w:trPr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5635" w:type="dxa"/>
          </w:tcPr>
          <w:p w:rsidR="00AA55C1" w:rsidRPr="00D90DFA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Учетной политики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после отчетной даты</w:t>
            </w:r>
          </w:p>
        </w:tc>
        <w:tc>
          <w:tcPr>
            <w:tcW w:w="5635" w:type="dxa"/>
          </w:tcPr>
          <w:p w:rsidR="00AA55C1" w:rsidRPr="00D90DFA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Учетной политики</w:t>
            </w:r>
          </w:p>
        </w:tc>
      </w:tr>
      <w:tr w:rsidR="00AA55C1" w:rsidTr="007C3DB5">
        <w:trPr>
          <w:trHeight w:val="129"/>
        </w:trPr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A55C1" w:rsidRPr="0062329A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9A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5635" w:type="dxa"/>
          </w:tcPr>
          <w:p w:rsidR="0062329A" w:rsidRPr="0062329A" w:rsidRDefault="0062329A" w:rsidP="0062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A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права пользования активом (арендная плата) признается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      </w:r>
            <w:r w:rsidRPr="0062329A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Основание: пункт 25 Стандарта «Аренда».</w:t>
            </w:r>
          </w:p>
          <w:p w:rsidR="0062329A" w:rsidRPr="0062329A" w:rsidRDefault="0062329A" w:rsidP="0062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Учреждение осуществляет все расходы в пределах установленных норм и утвержденного на текущий год плана финансово-хозяйственной деятельности:</w:t>
            </w:r>
          </w:p>
          <w:p w:rsidR="0062329A" w:rsidRPr="0062329A" w:rsidRDefault="0062329A" w:rsidP="0062329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29A">
              <w:rPr>
                <w:rFonts w:ascii="Times New Roman" w:hAnsi="Times New Roman" w:cs="Times New Roman"/>
                <w:sz w:val="24"/>
                <w:szCs w:val="24"/>
              </w:rPr>
              <w:t>на междугородные переговоры, услуги по доступу в Интернет – по фактическому расходу;</w:t>
            </w:r>
          </w:p>
          <w:p w:rsidR="00AA55C1" w:rsidRPr="0062329A" w:rsidRDefault="0062329A" w:rsidP="0062329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29A">
              <w:rPr>
                <w:rFonts w:ascii="Times New Roman" w:hAnsi="Times New Roman" w:cs="Times New Roman"/>
                <w:sz w:val="24"/>
                <w:szCs w:val="24"/>
              </w:rPr>
              <w:t>пользование услугами сотовой связи – по лимиту утвержденному приказом ректора.</w:t>
            </w:r>
          </w:p>
        </w:tc>
      </w:tr>
      <w:tr w:rsidR="00AA55C1" w:rsidTr="007C3DB5">
        <w:tc>
          <w:tcPr>
            <w:tcW w:w="534" w:type="dxa"/>
          </w:tcPr>
          <w:p w:rsidR="00AA55C1" w:rsidRPr="00487F5E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2" w:type="dxa"/>
          </w:tcPr>
          <w:p w:rsidR="00AA55C1" w:rsidRPr="00487F5E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F5E">
              <w:rPr>
                <w:rFonts w:ascii="Times New Roman" w:hAnsi="Times New Roman" w:cs="Times New Roman"/>
                <w:sz w:val="24"/>
                <w:szCs w:val="24"/>
              </w:rPr>
              <w:t>Порядок и сроки проведения инвентаризация имущества и обязательств</w:t>
            </w:r>
          </w:p>
        </w:tc>
        <w:tc>
          <w:tcPr>
            <w:tcW w:w="5635" w:type="dxa"/>
          </w:tcPr>
          <w:p w:rsidR="00AA55C1" w:rsidRPr="00487F5E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Учетной политики 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обеспечения внутреннего финансового контроля</w:t>
            </w:r>
          </w:p>
        </w:tc>
        <w:tc>
          <w:tcPr>
            <w:tcW w:w="5635" w:type="dxa"/>
          </w:tcPr>
          <w:p w:rsidR="00AA55C1" w:rsidRPr="00D90DFA" w:rsidRDefault="00AA55C1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Учетной политики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 отчетность)</w:t>
            </w:r>
          </w:p>
        </w:tc>
        <w:tc>
          <w:tcPr>
            <w:tcW w:w="5635" w:type="dxa"/>
          </w:tcPr>
          <w:p w:rsidR="000C1A04" w:rsidRPr="007C3DB5" w:rsidRDefault="000C1A04" w:rsidP="000C1A04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C3DB5">
              <w:rPr>
                <w:rFonts w:ascii="Times New Roman" w:hAnsi="Times New Roman" w:cs="Times New Roman"/>
                <w:sz w:val="24"/>
                <w:szCs w:val="24"/>
              </w:rPr>
              <w:t>Для обособленных структурных подразделений, наделенных правомочиями юридического лица  в части ведения отдельного баланса определяется перечень форм отчетности и устанавливаются следующие сроки представления бухгалтерской отчетности:</w:t>
            </w:r>
          </w:p>
          <w:p w:rsidR="000C1A04" w:rsidRPr="007C3DB5" w:rsidRDefault="000C1A04" w:rsidP="000C1A0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B5">
              <w:rPr>
                <w:rFonts w:ascii="Times New Roman" w:hAnsi="Times New Roman" w:cs="Times New Roman"/>
                <w:sz w:val="24"/>
                <w:szCs w:val="24"/>
              </w:rPr>
              <w:t>- квартальные – до 7 числа следующего месяца;</w:t>
            </w:r>
          </w:p>
          <w:p w:rsidR="00AA55C1" w:rsidRPr="007C3DB5" w:rsidRDefault="000C1A04" w:rsidP="000C1A0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B5">
              <w:rPr>
                <w:rFonts w:ascii="Times New Roman" w:hAnsi="Times New Roman" w:cs="Times New Roman"/>
                <w:sz w:val="24"/>
                <w:szCs w:val="24"/>
              </w:rPr>
              <w:t>- годовой – до 25 января, следующего за отчетным годом.</w:t>
            </w:r>
          </w:p>
        </w:tc>
      </w:tr>
      <w:tr w:rsidR="00AA55C1" w:rsidTr="007C3DB5">
        <w:tc>
          <w:tcPr>
            <w:tcW w:w="534" w:type="dxa"/>
          </w:tcPr>
          <w:p w:rsidR="00AA55C1" w:rsidRDefault="00AA55C1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AA55C1" w:rsidRDefault="00AA55C1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передачи документов бухгалтерского учета при смене руководителя и главного бухгалтера</w:t>
            </w:r>
          </w:p>
        </w:tc>
        <w:tc>
          <w:tcPr>
            <w:tcW w:w="5635" w:type="dxa"/>
          </w:tcPr>
          <w:p w:rsidR="00AA55C1" w:rsidRPr="007C3DB5" w:rsidRDefault="007C3DB5" w:rsidP="007C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B5">
              <w:rPr>
                <w:rFonts w:ascii="Times New Roman" w:hAnsi="Times New Roman" w:cs="Times New Roman"/>
                <w:sz w:val="24"/>
                <w:szCs w:val="24"/>
              </w:rPr>
              <w:t>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 – уполномоченное лицо) передать документы бухгалтерского учета, а также печати и штампы, хранящиеся в бухгалтерии.  Порядок передачи дел приведен в Приложении к Учетной политике.</w:t>
            </w:r>
          </w:p>
        </w:tc>
      </w:tr>
      <w:tr w:rsidR="00B6397F" w:rsidTr="007C3DB5">
        <w:tc>
          <w:tcPr>
            <w:tcW w:w="534" w:type="dxa"/>
          </w:tcPr>
          <w:p w:rsidR="00B6397F" w:rsidRDefault="00B6397F" w:rsidP="00BF05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B6397F" w:rsidRDefault="00B6397F" w:rsidP="00BF05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5635" w:type="dxa"/>
          </w:tcPr>
          <w:p w:rsidR="00B6397F" w:rsidRPr="00D90DFA" w:rsidRDefault="00B6397F" w:rsidP="00BF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A">
              <w:rPr>
                <w:rFonts w:ascii="Times New Roman" w:hAnsi="Times New Roman" w:cs="Times New Roman"/>
                <w:sz w:val="24"/>
                <w:szCs w:val="24"/>
              </w:rPr>
              <w:t>Университет публикует основные положения Учетной политики на своем официальном сайте путем размещения основных положений учетной политики.</w:t>
            </w:r>
          </w:p>
        </w:tc>
      </w:tr>
    </w:tbl>
    <w:p w:rsidR="002A0C1D" w:rsidRDefault="002A0C1D" w:rsidP="00B63D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0C1D" w:rsidSect="00ED34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EC" w:rsidRDefault="000839EC" w:rsidP="00CB72D2">
      <w:pPr>
        <w:spacing w:after="0" w:line="240" w:lineRule="auto"/>
      </w:pPr>
      <w:r>
        <w:separator/>
      </w:r>
    </w:p>
  </w:endnote>
  <w:endnote w:type="continuationSeparator" w:id="0">
    <w:p w:rsidR="000839EC" w:rsidRDefault="000839EC" w:rsidP="00CB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EC" w:rsidRDefault="000839EC" w:rsidP="00CB72D2">
      <w:pPr>
        <w:spacing w:after="0" w:line="240" w:lineRule="auto"/>
      </w:pPr>
      <w:r>
        <w:separator/>
      </w:r>
    </w:p>
  </w:footnote>
  <w:footnote w:type="continuationSeparator" w:id="0">
    <w:p w:rsidR="000839EC" w:rsidRDefault="000839EC" w:rsidP="00CB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284" w:firstLine="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065C88"/>
    <w:multiLevelType w:val="hybridMultilevel"/>
    <w:tmpl w:val="171A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529"/>
    <w:multiLevelType w:val="multilevel"/>
    <w:tmpl w:val="9C9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2EE2"/>
    <w:multiLevelType w:val="hybridMultilevel"/>
    <w:tmpl w:val="9ED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904"/>
    <w:multiLevelType w:val="hybridMultilevel"/>
    <w:tmpl w:val="FA98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64FF"/>
    <w:multiLevelType w:val="hybridMultilevel"/>
    <w:tmpl w:val="A192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EC"/>
    <w:rsid w:val="00015850"/>
    <w:rsid w:val="00043A8F"/>
    <w:rsid w:val="000839EC"/>
    <w:rsid w:val="000C1A04"/>
    <w:rsid w:val="000C66B2"/>
    <w:rsid w:val="00100138"/>
    <w:rsid w:val="00115DE8"/>
    <w:rsid w:val="00195835"/>
    <w:rsid w:val="002A0C1D"/>
    <w:rsid w:val="003126B0"/>
    <w:rsid w:val="00336518"/>
    <w:rsid w:val="003F5EA5"/>
    <w:rsid w:val="00423298"/>
    <w:rsid w:val="00487F5E"/>
    <w:rsid w:val="00516B97"/>
    <w:rsid w:val="00560CB4"/>
    <w:rsid w:val="005F7AB4"/>
    <w:rsid w:val="0062329A"/>
    <w:rsid w:val="0067564C"/>
    <w:rsid w:val="00697B0D"/>
    <w:rsid w:val="006B0D6F"/>
    <w:rsid w:val="006B3594"/>
    <w:rsid w:val="006E074C"/>
    <w:rsid w:val="0075431C"/>
    <w:rsid w:val="007C3DB5"/>
    <w:rsid w:val="007F34D9"/>
    <w:rsid w:val="008107C8"/>
    <w:rsid w:val="009D3EE7"/>
    <w:rsid w:val="00A460F8"/>
    <w:rsid w:val="00A86AEC"/>
    <w:rsid w:val="00AA55C1"/>
    <w:rsid w:val="00B22A59"/>
    <w:rsid w:val="00B47FEE"/>
    <w:rsid w:val="00B6397F"/>
    <w:rsid w:val="00B63D3E"/>
    <w:rsid w:val="00B93BBD"/>
    <w:rsid w:val="00B961E0"/>
    <w:rsid w:val="00BD189E"/>
    <w:rsid w:val="00BE56A8"/>
    <w:rsid w:val="00BF05CC"/>
    <w:rsid w:val="00CB72D2"/>
    <w:rsid w:val="00D0436E"/>
    <w:rsid w:val="00D10CC2"/>
    <w:rsid w:val="00D90DFA"/>
    <w:rsid w:val="00D90FE3"/>
    <w:rsid w:val="00E4664D"/>
    <w:rsid w:val="00ED3421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390"/>
  <w15:docId w15:val="{3F98B8A6-B4FC-4C83-B9F2-20C6093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4C"/>
  </w:style>
  <w:style w:type="paragraph" w:styleId="1">
    <w:name w:val="heading 1"/>
    <w:basedOn w:val="a"/>
    <w:next w:val="a"/>
    <w:link w:val="10"/>
    <w:uiPriority w:val="9"/>
    <w:qFormat/>
    <w:rsid w:val="003F5E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72D2"/>
  </w:style>
  <w:style w:type="paragraph" w:styleId="a6">
    <w:name w:val="footer"/>
    <w:basedOn w:val="a"/>
    <w:link w:val="a7"/>
    <w:uiPriority w:val="99"/>
    <w:semiHidden/>
    <w:unhideWhenUsed/>
    <w:rsid w:val="00CB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72D2"/>
  </w:style>
  <w:style w:type="character" w:customStyle="1" w:styleId="10">
    <w:name w:val="Заголовок 1 Знак"/>
    <w:basedOn w:val="a0"/>
    <w:link w:val="1"/>
    <w:uiPriority w:val="9"/>
    <w:rsid w:val="003F5E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3F5EA5"/>
  </w:style>
  <w:style w:type="paragraph" w:styleId="a9">
    <w:name w:val="Body Text Indent"/>
    <w:basedOn w:val="a"/>
    <w:link w:val="aa"/>
    <w:rsid w:val="00A460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460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ill">
    <w:name w:val="fill"/>
    <w:basedOn w:val="a0"/>
    <w:rsid w:val="00E4664D"/>
  </w:style>
  <w:style w:type="paragraph" w:styleId="ab">
    <w:name w:val="Balloon Text"/>
    <w:basedOn w:val="a"/>
    <w:link w:val="ac"/>
    <w:uiPriority w:val="99"/>
    <w:semiHidden/>
    <w:unhideWhenUsed/>
    <w:rsid w:val="0056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CB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60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unhideWhenUsed/>
    <w:rsid w:val="0056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AE996C40691654393C4422B6702763792395C742FD69E8EDC4717EA615CE677B5d6R0M" TargetMode="External"/><Relationship Id="rId13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18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26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4" Type="http://schemas.openxmlformats.org/officeDocument/2006/relationships/hyperlink" Target="consultantplus://offline/ref=9D8161AA42813FF2C5CEF20345109A18045E915A4D486592BF0D91A3DD55F1698951AD87C989255BD5F8EF97C60D98654393C4422B6702763792395C742FD69E8EDC4717EA615CE677B5d6R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17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25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3" Type="http://schemas.openxmlformats.org/officeDocument/2006/relationships/hyperlink" Target="consultantplus://offline/ref=9D8161AA42813FF2C5CEF20345109A18045E915A4D486592BF0D91A3DD55F1698951AD87C989255BD5F8EF97C60D98654393C4422B6702763792395C742FD69E8EDC4717EA615CE677B5d6R0M" TargetMode="External"/><Relationship Id="rId38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0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9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24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32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37" Type="http://schemas.openxmlformats.org/officeDocument/2006/relationships/hyperlink" Target="consultantplus://offline/ref=9D8161AA42813FF2C5CEF20345109A18045E915A4D486592BF0D91A3DD55F1698951AD87C989255BD5FAE995C40791654393C4422B6702763792395C742FD69E8EDF4C4BBB23d1R3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3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6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10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9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31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4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22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0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35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D895-8A54-4B93-A8D4-1A09B7C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Дворовенко Александра Михайловна</cp:lastModifiedBy>
  <cp:revision>3</cp:revision>
  <cp:lastPrinted>2019-10-19T06:46:00Z</cp:lastPrinted>
  <dcterms:created xsi:type="dcterms:W3CDTF">2023-08-10T01:23:00Z</dcterms:created>
  <dcterms:modified xsi:type="dcterms:W3CDTF">2023-08-26T07:04:00Z</dcterms:modified>
</cp:coreProperties>
</file>